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174</w:t>
      </w:r>
    </w:p>
    <w:p>
      <w:r>
        <w:t>Bundesgericht (BGE), 1983-12-22, FR</w:t>
      </w:r>
    </w:p>
    <w:p>
      <w:r>
        <w:rPr>
          <w:b/>
        </w:rPr>
        <w:t xml:space="preserve">Quelle: </w:t>
      </w:r>
      <w:r>
        <w:t>https://mcp.opencaselaw.ch/entscheid/bge_109 IV 174</w:t>
      </w:r>
    </w:p>
    <w:p>
      <w:r>
        <w:t>FR: ATF 109 IV 174</w:t>
      </w:r>
    </w:p>
    <w:p>
      <w:r>
        <w:t>IT: DTF 109 IV 174</w:t>
      </w:r>
    </w:p>
    <w:p>
      <w:pPr>
        <w:pStyle w:val="Heading2"/>
      </w:pPr>
      <w:r>
        <w:t>Regeste</w:t>
      </w:r>
    </w:p>
    <w:p>
      <w:r>
        <w:t>Regeste Art. 47 Abs. 1 lit. b und Art. 53 IRSG. Die blosse Behauptung eines Alibis in der Beschwerdeschrift genügt den Anforderungen des im Beschwerdeverfahren vor der Anklagekammer analog anwendbaren Art. 47 Abs. 1 lit. b IRSG nicht, wonach der Verfolgte ohne Verzug nachzuweisen hat, dass er zur Zeit der Tat nicht am Tatort war. Kann der Verfolgte sein Alibi nicht ohne Verzug nachweisen, ist im Rahmen des eigentlichen Auslieferungsverfahrens das in Art. 53 IRSG vorgesehene Verfahren zu befolgen.</w:t>
      </w:r>
    </w:p>
    <w:p>
      <w:pPr>
        <w:pStyle w:val="Heading2"/>
      </w:pPr>
      <w:r>
        <w:t>Erwägungen</w:t>
      </w:r>
    </w:p>
    <w:p>
      <w:r>
        <w:rPr>
          <w:b/>
        </w:rPr>
        <w:t>E. 1</w:t>
      </w:r>
    </w:p>
    <w:p>
      <w:r>
        <w:t>Conformément à l'art. 49 EIMP, le mandat d'arrêt aux fins d'extradition ne produit pas d'effets tant que la personne poursuivie est détenue pour les besoins d'une instruction ou l'exécution d'un jugement. Le recourant se trouvant en détention préventive dans le canton de Genève à la suite d'autres infractions que celles qui lui sont reprochées en Espagne, il n'est pas fondé pour l'instant à attaquer le mandat d'arrêt en cause, puisqu'il ne produit pas d'effet actuellement.</w:t>
      </w:r>
    </w:p>
    <w:p>
      <w:r>
        <w:rPr>
          <w:b/>
        </w:rPr>
        <w:t>E. 2</w:t>
      </w:r>
    </w:p>
    <w:p>
      <w:r>
        <w:t>De toute manière, les arguments que fait valoir le recourant sont dénués de pertinence. En effet, conformément à l'art. 47 al. 1 lettre b EIMP, il ne peut être renoncé au mandat d'arrêt que BGE 109 IV 174 S. 176 si un alibi peut être fourni sans délai. Transposé à la procédure de recours devant la Chambre d'accusation, ce principe veut dire que le recourant doit fournir la preuve de son alibi en même temps qu'il dépose son mémoire. La simple allégation de l'alibi et l'annonce de preuves à venir ne satisfont nullement à cette condition. La procédure de recours devant la Chambre d'accusation doit pouvoir se dérouler sans les délais, complications et atermoiements impliqués par l'administration de nouvelles preuves ou par la vérification d'office des renseignements fournis. Pour que de telles opérations puissent intervenir, il faut attendre la procédure d'extradition proprement dite, voire celle du recours qui est ouvert à l'issue de celle-ci. Il suffit pour s'en convaincre de lire l'art. 53 al. 1 EIMP, qui figure au chapitre 4 de la loi sous le titre général "Préliminaires de la décision d'extradition". Cette disposition règle en effet expressément le cas où la personne poursuivie affirme qu'elle est en mesure de fournir un alibi, mais ne peut en établir aussitôt l'existence.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